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9903" w14:textId="77777777" w:rsidR="00840CB8" w:rsidRDefault="002749E9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Local, </w:t>
      </w:r>
      <w:r>
        <w:rPr>
          <w:spacing w:val="-4"/>
        </w:rPr>
        <w:t xml:space="preserve">state </w:t>
      </w:r>
      <w:r>
        <w:t xml:space="preserve">and </w:t>
      </w:r>
      <w:r>
        <w:rPr>
          <w:spacing w:val="-4"/>
        </w:rPr>
        <w:t xml:space="preserve">national governments </w:t>
      </w:r>
      <w:r>
        <w:t xml:space="preserve">in </w:t>
      </w:r>
      <w:r>
        <w:rPr>
          <w:spacing w:val="-4"/>
        </w:rPr>
        <w:t xml:space="preserve">Australia </w:t>
      </w:r>
      <w:r>
        <w:t xml:space="preserve">and </w:t>
      </w:r>
      <w:r>
        <w:rPr>
          <w:spacing w:val="-4"/>
        </w:rPr>
        <w:t xml:space="preserve">around </w:t>
      </w:r>
      <w:r>
        <w:t xml:space="preserve">the </w:t>
      </w:r>
      <w:r>
        <w:rPr>
          <w:spacing w:val="-4"/>
        </w:rPr>
        <w:t xml:space="preserve">world have identified </w:t>
      </w:r>
      <w:r>
        <w:rPr>
          <w:spacing w:val="-3"/>
        </w:rPr>
        <w:t xml:space="preserve">that there are </w:t>
      </w:r>
      <w:r>
        <w:rPr>
          <w:spacing w:val="-4"/>
        </w:rPr>
        <w:t xml:space="preserve">significant environmental, community </w:t>
      </w:r>
      <w:r>
        <w:t xml:space="preserve">and </w:t>
      </w:r>
      <w:r>
        <w:rPr>
          <w:spacing w:val="-4"/>
        </w:rPr>
        <w:t xml:space="preserve">economic impacts associated </w:t>
      </w:r>
      <w:r>
        <w:rPr>
          <w:spacing w:val="-3"/>
        </w:rPr>
        <w:t xml:space="preserve">with plastic </w:t>
      </w:r>
      <w:r>
        <w:t xml:space="preserve">in the </w:t>
      </w:r>
      <w:r>
        <w:rPr>
          <w:spacing w:val="-4"/>
        </w:rPr>
        <w:t xml:space="preserve">environment. Although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comprehensive </w:t>
      </w:r>
      <w:r>
        <w:rPr>
          <w:spacing w:val="-3"/>
        </w:rPr>
        <w:t xml:space="preserve">data </w:t>
      </w:r>
      <w:r>
        <w:rPr>
          <w:spacing w:val="-4"/>
        </w:rPr>
        <w:t xml:space="preserve">available </w:t>
      </w:r>
      <w: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 xml:space="preserve">amount </w:t>
      </w:r>
      <w:r>
        <w:rPr>
          <w:spacing w:val="-3"/>
        </w:rPr>
        <w:t xml:space="preserve">of single use </w:t>
      </w:r>
      <w:r>
        <w:rPr>
          <w:spacing w:val="-4"/>
        </w:rPr>
        <w:t xml:space="preserve">plastic </w:t>
      </w:r>
      <w:r>
        <w:rPr>
          <w:spacing w:val="-3"/>
        </w:rPr>
        <w:t xml:space="preserve">used in </w:t>
      </w:r>
      <w:r>
        <w:rPr>
          <w:spacing w:val="-4"/>
        </w:rPr>
        <w:t xml:space="preserve">Queensland, </w:t>
      </w:r>
      <w:r>
        <w:t xml:space="preserve">it is </w:t>
      </w:r>
      <w:r>
        <w:rPr>
          <w:spacing w:val="-4"/>
        </w:rPr>
        <w:t xml:space="preserve">reported that Australians </w:t>
      </w:r>
      <w:r>
        <w:rPr>
          <w:spacing w:val="-3"/>
        </w:rPr>
        <w:t xml:space="preserve">use an </w:t>
      </w:r>
      <w:r>
        <w:rPr>
          <w:spacing w:val="-4"/>
        </w:rPr>
        <w:t xml:space="preserve">estimated </w:t>
      </w:r>
      <w:r>
        <w:t xml:space="preserve">10 </w:t>
      </w:r>
      <w:r>
        <w:rPr>
          <w:spacing w:val="-3"/>
        </w:rPr>
        <w:t xml:space="preserve">million </w:t>
      </w:r>
      <w:r>
        <w:rPr>
          <w:spacing w:val="-4"/>
        </w:rPr>
        <w:t xml:space="preserve">plastic </w:t>
      </w:r>
      <w:r>
        <w:rPr>
          <w:spacing w:val="-3"/>
        </w:rPr>
        <w:t>straws per</w:t>
      </w:r>
      <w:r>
        <w:rPr>
          <w:spacing w:val="-25"/>
        </w:rPr>
        <w:t xml:space="preserve"> </w:t>
      </w:r>
      <w:r>
        <w:rPr>
          <w:spacing w:val="-3"/>
        </w:rPr>
        <w:t>day.</w:t>
      </w:r>
    </w:p>
    <w:p w14:paraId="23BDBBBA" w14:textId="1F86A6A0" w:rsidR="00944E22" w:rsidRDefault="00944E22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3"/>
        </w:rPr>
        <w:t xml:space="preserve">high </w:t>
      </w:r>
      <w:r>
        <w:rPr>
          <w:spacing w:val="-4"/>
        </w:rPr>
        <w:t>functionality</w:t>
      </w:r>
      <w:r>
        <w:rPr>
          <w:spacing w:val="53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relatively </w:t>
      </w:r>
      <w:r>
        <w:rPr>
          <w:spacing w:val="-3"/>
        </w:rPr>
        <w:t xml:space="preserve">low cost of </w:t>
      </w:r>
      <w:r>
        <w:rPr>
          <w:spacing w:val="-4"/>
        </w:rPr>
        <w:t xml:space="preserve">plastic </w:t>
      </w:r>
      <w:r>
        <w:rPr>
          <w:spacing w:val="-3"/>
        </w:rPr>
        <w:t xml:space="preserve">means that this </w:t>
      </w:r>
      <w:r>
        <w:rPr>
          <w:spacing w:val="-4"/>
        </w:rPr>
        <w:t xml:space="preserve">material </w:t>
      </w:r>
      <w:r>
        <w:t xml:space="preserve">is </w:t>
      </w:r>
      <w:r>
        <w:rPr>
          <w:spacing w:val="-4"/>
        </w:rPr>
        <w:t xml:space="preserve">commonplace </w:t>
      </w:r>
      <w:r>
        <w:t xml:space="preserve">in </w:t>
      </w:r>
      <w:r>
        <w:rPr>
          <w:spacing w:val="-4"/>
        </w:rPr>
        <w:t xml:space="preserve">everyday </w:t>
      </w:r>
      <w:r>
        <w:rPr>
          <w:spacing w:val="-3"/>
        </w:rPr>
        <w:t xml:space="preserve">life. </w:t>
      </w:r>
      <w:r>
        <w:rPr>
          <w:spacing w:val="-4"/>
        </w:rPr>
        <w:t xml:space="preserve">Plastic </w:t>
      </w:r>
      <w:r>
        <w:rPr>
          <w:spacing w:val="-3"/>
        </w:rPr>
        <w:t xml:space="preserve">plays </w:t>
      </w:r>
      <w:r>
        <w:t xml:space="preserve">a </w:t>
      </w:r>
      <w:r>
        <w:rPr>
          <w:spacing w:val="-4"/>
        </w:rPr>
        <w:t xml:space="preserve">useful </w:t>
      </w:r>
      <w:r>
        <w:rPr>
          <w:spacing w:val="-3"/>
        </w:rPr>
        <w:t xml:space="preserve">role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economy </w:t>
      </w:r>
      <w:r>
        <w:t xml:space="preserve">and </w:t>
      </w:r>
      <w:r>
        <w:rPr>
          <w:spacing w:val="-4"/>
        </w:rPr>
        <w:t xml:space="preserve">provides essential applications </w:t>
      </w:r>
      <w:r>
        <w:rPr>
          <w:spacing w:val="-3"/>
        </w:rPr>
        <w:t xml:space="preserve">in </w:t>
      </w:r>
      <w:r>
        <w:t xml:space="preserve">many </w:t>
      </w:r>
      <w:r>
        <w:rPr>
          <w:spacing w:val="-4"/>
        </w:rPr>
        <w:t xml:space="preserve">sectors. However, </w:t>
      </w:r>
      <w:r>
        <w:rPr>
          <w:spacing w:val="-2"/>
        </w:rPr>
        <w:t xml:space="preserve">its </w:t>
      </w:r>
      <w:r>
        <w:rPr>
          <w:spacing w:val="-4"/>
        </w:rPr>
        <w:t xml:space="preserve">growing </w:t>
      </w:r>
      <w:r>
        <w:rPr>
          <w:spacing w:val="-3"/>
        </w:rPr>
        <w:t xml:space="preserve">use </w:t>
      </w:r>
      <w:r>
        <w:t xml:space="preserve">in </w:t>
      </w:r>
      <w:r>
        <w:rPr>
          <w:spacing w:val="-4"/>
        </w:rPr>
        <w:t xml:space="preserve">short-lived </w:t>
      </w:r>
      <w:r>
        <w:rPr>
          <w:spacing w:val="-3"/>
        </w:rPr>
        <w:t xml:space="preserve">and </w:t>
      </w:r>
      <w:r>
        <w:rPr>
          <w:spacing w:val="-4"/>
        </w:rPr>
        <w:t xml:space="preserve">single </w:t>
      </w:r>
      <w:r>
        <w:t xml:space="preserve">use </w:t>
      </w:r>
      <w:r>
        <w:rPr>
          <w:spacing w:val="-4"/>
        </w:rPr>
        <w:t xml:space="preserve">(convenience) items, which </w:t>
      </w:r>
      <w:r>
        <w:rPr>
          <w:spacing w:val="-3"/>
        </w:rPr>
        <w:t xml:space="preserve">are not </w:t>
      </w:r>
      <w:r>
        <w:rPr>
          <w:spacing w:val="-4"/>
        </w:rPr>
        <w:t xml:space="preserve">designed </w:t>
      </w:r>
      <w:r>
        <w:rPr>
          <w:spacing w:val="-3"/>
        </w:rPr>
        <w:t xml:space="preserve">for re-use or </w:t>
      </w:r>
      <w:r>
        <w:rPr>
          <w:spacing w:val="-4"/>
        </w:rPr>
        <w:t xml:space="preserve">cost-effective </w:t>
      </w:r>
      <w:r>
        <w:rPr>
          <w:spacing w:val="-3"/>
        </w:rPr>
        <w:t xml:space="preserve">recovery and </w:t>
      </w:r>
      <w:r>
        <w:rPr>
          <w:spacing w:val="-4"/>
        </w:rPr>
        <w:t xml:space="preserve">recycling, </w:t>
      </w:r>
      <w:r>
        <w:rPr>
          <w:spacing w:val="-3"/>
        </w:rPr>
        <w:t xml:space="preserve">means that </w:t>
      </w:r>
      <w:r>
        <w:t xml:space="preserve">the </w:t>
      </w:r>
      <w:r>
        <w:rPr>
          <w:spacing w:val="-3"/>
        </w:rPr>
        <w:t xml:space="preserve">lifecycle of </w:t>
      </w:r>
      <w:r>
        <w:rPr>
          <w:spacing w:val="-4"/>
        </w:rPr>
        <w:t xml:space="preserve">these items </w:t>
      </w:r>
      <w:r>
        <w:rPr>
          <w:spacing w:val="-3"/>
        </w:rPr>
        <w:t xml:space="preserve">has </w:t>
      </w:r>
      <w:r>
        <w:rPr>
          <w:spacing w:val="-4"/>
        </w:rPr>
        <w:t>become increasingly</w:t>
      </w:r>
      <w:r>
        <w:rPr>
          <w:spacing w:val="-26"/>
        </w:rPr>
        <w:t xml:space="preserve"> </w:t>
      </w:r>
      <w:r>
        <w:rPr>
          <w:spacing w:val="-4"/>
        </w:rPr>
        <w:t>linear.</w:t>
      </w:r>
    </w:p>
    <w:p w14:paraId="5A069905" w14:textId="77777777" w:rsidR="00840CB8" w:rsidRDefault="002749E9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i/>
          <w:spacing w:val="-4"/>
        </w:rPr>
        <w:t xml:space="preserve">Tackling Plastic </w:t>
      </w:r>
      <w:r>
        <w:rPr>
          <w:i/>
          <w:spacing w:val="-3"/>
        </w:rPr>
        <w:t xml:space="preserve">Waste </w:t>
      </w:r>
      <w:r>
        <w:rPr>
          <w:i/>
        </w:rPr>
        <w:t xml:space="preserve">– </w:t>
      </w:r>
      <w:r>
        <w:rPr>
          <w:i/>
          <w:spacing w:val="-4"/>
        </w:rPr>
        <w:t xml:space="preserve">Queensland’s Plastic Pollution Reduction </w:t>
      </w:r>
      <w:r>
        <w:rPr>
          <w:i/>
          <w:spacing w:val="-3"/>
        </w:rPr>
        <w:t xml:space="preserve">Plan </w:t>
      </w:r>
      <w:r>
        <w:rPr>
          <w:spacing w:val="-3"/>
        </w:rPr>
        <w:t xml:space="preserve">(the </w:t>
      </w:r>
      <w:r>
        <w:rPr>
          <w:spacing w:val="-4"/>
        </w:rPr>
        <w:t xml:space="preserve">Plan) identifies </w:t>
      </w:r>
      <w:r>
        <w:t xml:space="preserve">and </w:t>
      </w:r>
      <w:r>
        <w:rPr>
          <w:spacing w:val="-4"/>
        </w:rPr>
        <w:t xml:space="preserve">prioritises </w:t>
      </w:r>
      <w:r>
        <w:rPr>
          <w:spacing w:val="-3"/>
        </w:rPr>
        <w:t xml:space="preserve">actions that </w:t>
      </w:r>
      <w:r>
        <w:rPr>
          <w:spacing w:val="-4"/>
        </w:rPr>
        <w:t xml:space="preserve">will </w:t>
      </w:r>
      <w:r>
        <w:rPr>
          <w:spacing w:val="-3"/>
        </w:rPr>
        <w:t xml:space="preserve">reduce plastic </w:t>
      </w:r>
      <w:r>
        <w:rPr>
          <w:spacing w:val="-4"/>
        </w:rPr>
        <w:t xml:space="preserve">waste </w:t>
      </w:r>
      <w:r>
        <w:rPr>
          <w:spacing w:val="-3"/>
        </w:rPr>
        <w:t xml:space="preserve">and the </w:t>
      </w:r>
      <w:r>
        <w:rPr>
          <w:spacing w:val="-4"/>
        </w:rPr>
        <w:t xml:space="preserve">impacts </w:t>
      </w:r>
      <w:r>
        <w:rPr>
          <w:spacing w:val="-3"/>
        </w:rPr>
        <w:t xml:space="preserve">of plastic </w:t>
      </w:r>
      <w:r>
        <w:rPr>
          <w:spacing w:val="-4"/>
        </w:rPr>
        <w:t xml:space="preserve">pollution </w:t>
      </w:r>
      <w:r>
        <w:t xml:space="preserve">on the </w:t>
      </w:r>
      <w:r>
        <w:rPr>
          <w:spacing w:val="-4"/>
        </w:rPr>
        <w:t xml:space="preserve">environment </w:t>
      </w:r>
      <w:r>
        <w:rPr>
          <w:spacing w:val="-3"/>
        </w:rPr>
        <w:t>and</w:t>
      </w:r>
      <w:r>
        <w:rPr>
          <w:spacing w:val="-26"/>
        </w:rPr>
        <w:t xml:space="preserve"> </w:t>
      </w:r>
      <w:r>
        <w:rPr>
          <w:spacing w:val="-4"/>
        </w:rPr>
        <w:t>economy.</w:t>
      </w:r>
    </w:p>
    <w:p w14:paraId="5A069907" w14:textId="0BCF3465" w:rsidR="00840CB8" w:rsidRDefault="002749E9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A </w:t>
      </w:r>
      <w:r>
        <w:rPr>
          <w:spacing w:val="-4"/>
        </w:rPr>
        <w:t xml:space="preserve">headline </w:t>
      </w:r>
      <w:r>
        <w:rPr>
          <w:spacing w:val="-3"/>
        </w:rPr>
        <w:t xml:space="preserve">action under </w:t>
      </w:r>
      <w:r>
        <w:t xml:space="preserve">the </w:t>
      </w:r>
      <w:r>
        <w:rPr>
          <w:spacing w:val="-3"/>
        </w:rPr>
        <w:t xml:space="preserve">Plan </w:t>
      </w:r>
      <w:r>
        <w:t xml:space="preserve">is </w:t>
      </w:r>
      <w:r w:rsidR="005927F9">
        <w:rPr>
          <w:spacing w:val="-4"/>
        </w:rPr>
        <w:t>to</w:t>
      </w:r>
      <w:r>
        <w:rPr>
          <w:spacing w:val="-4"/>
        </w:rPr>
        <w:t xml:space="preserve"> introduce</w:t>
      </w:r>
      <w:r w:rsidR="00944E22">
        <w:rPr>
          <w:spacing w:val="-4"/>
        </w:rPr>
        <w:t>,</w:t>
      </w:r>
      <w:r>
        <w:rPr>
          <w:spacing w:val="53"/>
        </w:rPr>
        <w:t xml:space="preserve"> </w:t>
      </w:r>
      <w:r w:rsidR="005F0C89">
        <w:rPr>
          <w:spacing w:val="-4"/>
        </w:rPr>
        <w:t xml:space="preserve">subject </w:t>
      </w:r>
      <w:r w:rsidR="005F0C89">
        <w:t xml:space="preserve">to a </w:t>
      </w:r>
      <w:r w:rsidR="005F0C89">
        <w:rPr>
          <w:spacing w:val="-4"/>
        </w:rPr>
        <w:t>Regulatory Impact Statement,</w:t>
      </w:r>
      <w:r w:rsidR="00944E22">
        <w:rPr>
          <w:spacing w:val="-4"/>
        </w:rPr>
        <w:t xml:space="preserve"> </w:t>
      </w:r>
      <w:r>
        <w:rPr>
          <w:spacing w:val="-4"/>
        </w:rPr>
        <w:t xml:space="preserve">legislation </w:t>
      </w:r>
      <w:r>
        <w:t xml:space="preserve">to ban the </w:t>
      </w:r>
      <w:r>
        <w:rPr>
          <w:spacing w:val="-4"/>
        </w:rPr>
        <w:t xml:space="preserve">supply </w:t>
      </w:r>
      <w:r>
        <w:rPr>
          <w:spacing w:val="-3"/>
        </w:rPr>
        <w:t xml:space="preserve">of </w:t>
      </w:r>
      <w:r>
        <w:rPr>
          <w:spacing w:val="-4"/>
        </w:rPr>
        <w:t xml:space="preserve">specific plastic products, starting </w:t>
      </w:r>
      <w:r>
        <w:rPr>
          <w:spacing w:val="-3"/>
        </w:rPr>
        <w:t xml:space="preserve">with </w:t>
      </w:r>
      <w:r>
        <w:rPr>
          <w:spacing w:val="-4"/>
        </w:rPr>
        <w:t xml:space="preserve">straws (taking </w:t>
      </w:r>
      <w:r>
        <w:rPr>
          <w:spacing w:val="-3"/>
        </w:rPr>
        <w:t xml:space="preserve">into </w:t>
      </w:r>
      <w:r>
        <w:rPr>
          <w:spacing w:val="-4"/>
        </w:rPr>
        <w:t xml:space="preserve">account </w:t>
      </w:r>
      <w:r>
        <w:t xml:space="preserve">the </w:t>
      </w:r>
      <w:r>
        <w:rPr>
          <w:spacing w:val="-4"/>
        </w:rPr>
        <w:t xml:space="preserve">disability </w:t>
      </w:r>
      <w:r>
        <w:rPr>
          <w:spacing w:val="-3"/>
        </w:rPr>
        <w:t xml:space="preserve">needs of </w:t>
      </w:r>
      <w:r>
        <w:rPr>
          <w:spacing w:val="-4"/>
        </w:rPr>
        <w:t xml:space="preserve">people), stirrers, </w:t>
      </w:r>
      <w:r>
        <w:rPr>
          <w:spacing w:val="-3"/>
        </w:rPr>
        <w:t xml:space="preserve">plates </w:t>
      </w:r>
      <w:r>
        <w:t xml:space="preserve">and </w:t>
      </w:r>
      <w:r>
        <w:rPr>
          <w:spacing w:val="-4"/>
        </w:rPr>
        <w:t xml:space="preserve">cutlery </w:t>
      </w:r>
      <w:r>
        <w:rPr>
          <w:spacing w:val="-3"/>
        </w:rPr>
        <w:t xml:space="preserve">and, </w:t>
      </w:r>
      <w:r>
        <w:rPr>
          <w:spacing w:val="-4"/>
        </w:rPr>
        <w:t>following further</w:t>
      </w:r>
      <w:r>
        <w:rPr>
          <w:spacing w:val="53"/>
        </w:rPr>
        <w:t xml:space="preserve"> </w:t>
      </w:r>
      <w:r>
        <w:rPr>
          <w:spacing w:val="-4"/>
        </w:rPr>
        <w:t xml:space="preserve">analysis, </w:t>
      </w:r>
      <w:r>
        <w:rPr>
          <w:spacing w:val="-3"/>
        </w:rPr>
        <w:t xml:space="preserve">extend </w:t>
      </w:r>
      <w:r>
        <w:rPr>
          <w:spacing w:val="-4"/>
        </w:rPr>
        <w:t xml:space="preserve">legislation </w:t>
      </w:r>
      <w:r>
        <w:t xml:space="preserve">to </w:t>
      </w:r>
      <w:r>
        <w:rPr>
          <w:spacing w:val="-4"/>
        </w:rPr>
        <w:t xml:space="preserve">include coffee cups, other </w:t>
      </w:r>
      <w:r>
        <w:rPr>
          <w:spacing w:val="-3"/>
        </w:rPr>
        <w:t xml:space="preserve">plastic cups and </w:t>
      </w:r>
      <w:r>
        <w:rPr>
          <w:spacing w:val="-4"/>
        </w:rPr>
        <w:t xml:space="preserve">heavyweight </w:t>
      </w:r>
      <w:r>
        <w:rPr>
          <w:spacing w:val="-3"/>
        </w:rPr>
        <w:t xml:space="preserve">plastic </w:t>
      </w:r>
      <w:r>
        <w:rPr>
          <w:spacing w:val="-4"/>
        </w:rPr>
        <w:t>shopping</w:t>
      </w:r>
      <w:r>
        <w:rPr>
          <w:spacing w:val="-10"/>
        </w:rPr>
        <w:t xml:space="preserve"> </w:t>
      </w:r>
      <w:r>
        <w:rPr>
          <w:spacing w:val="-3"/>
        </w:rPr>
        <w:t>bags.</w:t>
      </w:r>
    </w:p>
    <w:p w14:paraId="3D6A4094" w14:textId="06001AD2" w:rsidR="00C560C1" w:rsidRPr="00C36C42" w:rsidRDefault="00C560C1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The</w:t>
      </w:r>
      <w:r w:rsidR="00C36C42">
        <w:t xml:space="preserve"> Regulatory Impact Statement consultation will assist the</w:t>
      </w:r>
      <w:r>
        <w:t xml:space="preserve"> Government to understand the impact on consumers, business and the environment of banning certain single-use plastics and to consider how the net benefits of a ban compare </w:t>
      </w:r>
      <w:r w:rsidR="002749E9">
        <w:t>with</w:t>
      </w:r>
      <w:r>
        <w:t xml:space="preserve"> other options to address plastic pollution</w:t>
      </w:r>
      <w:r w:rsidR="002749E9">
        <w:t>.</w:t>
      </w:r>
    </w:p>
    <w:p w14:paraId="5A06990B" w14:textId="0FC96D14" w:rsidR="00840CB8" w:rsidRDefault="002749E9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>Cabinet approved</w:t>
      </w:r>
      <w:r>
        <w:t xml:space="preserve"> the release of the Single Use Plastic Items Consultation Regulatory Impact Statement for public consultation.</w:t>
      </w:r>
    </w:p>
    <w:p w14:paraId="5A06990D" w14:textId="58C16F11" w:rsidR="00840CB8" w:rsidRDefault="002749E9" w:rsidP="00577E43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Attachments</w:t>
      </w:r>
    </w:p>
    <w:p w14:paraId="5A06990E" w14:textId="3635C5BC" w:rsidR="00840CB8" w:rsidRPr="002E4BB0" w:rsidRDefault="00481ECC" w:rsidP="001A1209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3" w:hanging="425"/>
        <w:jc w:val="left"/>
      </w:pPr>
      <w:hyperlink r:id="rId10" w:history="1">
        <w:r w:rsidR="002749E9" w:rsidRPr="00556637">
          <w:rPr>
            <w:rStyle w:val="Hyperlink"/>
          </w:rPr>
          <w:t>Single Use Plastic Items</w:t>
        </w:r>
        <w:r w:rsidR="00CE487B">
          <w:rPr>
            <w:rStyle w:val="Hyperlink"/>
          </w:rPr>
          <w:t xml:space="preserve"> Consultation</w:t>
        </w:r>
        <w:r w:rsidR="002749E9" w:rsidRPr="00556637">
          <w:rPr>
            <w:rStyle w:val="Hyperlink"/>
          </w:rPr>
          <w:t xml:space="preserve"> Regulatory Impact</w:t>
        </w:r>
        <w:r w:rsidR="002749E9" w:rsidRPr="00556637">
          <w:rPr>
            <w:rStyle w:val="Hyperlink"/>
            <w:spacing w:val="-9"/>
          </w:rPr>
          <w:t xml:space="preserve"> </w:t>
        </w:r>
        <w:r w:rsidR="002749E9" w:rsidRPr="00556637">
          <w:rPr>
            <w:rStyle w:val="Hyperlink"/>
          </w:rPr>
          <w:t>Statement</w:t>
        </w:r>
      </w:hyperlink>
    </w:p>
    <w:sectPr w:rsidR="00840CB8" w:rsidRPr="002E4BB0" w:rsidSect="0091169F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06CB0" w14:textId="77777777" w:rsidR="00684BED" w:rsidRDefault="00684BED" w:rsidP="005E053A">
      <w:r>
        <w:separator/>
      </w:r>
    </w:p>
  </w:endnote>
  <w:endnote w:type="continuationSeparator" w:id="0">
    <w:p w14:paraId="4A2C79E3" w14:textId="77777777" w:rsidR="00684BED" w:rsidRDefault="00684BED" w:rsidP="005E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997C" w14:textId="77777777" w:rsidR="00684BED" w:rsidRDefault="00684BED" w:rsidP="005E053A">
      <w:r>
        <w:separator/>
      </w:r>
    </w:p>
  </w:footnote>
  <w:footnote w:type="continuationSeparator" w:id="0">
    <w:p w14:paraId="012F9A26" w14:textId="77777777" w:rsidR="00684BED" w:rsidRDefault="00684BED" w:rsidP="005E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4CFA" w14:textId="77777777" w:rsidR="005E053A" w:rsidRPr="00937A4A" w:rsidRDefault="005E053A" w:rsidP="005E05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6CADF559" w14:textId="77777777" w:rsidR="005E053A" w:rsidRPr="00937A4A" w:rsidRDefault="005E053A" w:rsidP="005E05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68AA5210" w14:textId="58DCEA7D" w:rsidR="005E053A" w:rsidRPr="00937A4A" w:rsidRDefault="005E053A" w:rsidP="005E05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March 2020</w:t>
    </w:r>
  </w:p>
  <w:p w14:paraId="691B1E08" w14:textId="1F126DAF" w:rsidR="005E053A" w:rsidRDefault="005E053A" w:rsidP="005E053A">
    <w:pPr>
      <w:pStyle w:val="Header"/>
      <w:spacing w:before="120"/>
      <w:rPr>
        <w:b/>
        <w:u w:val="single"/>
      </w:rPr>
    </w:pPr>
    <w:r>
      <w:rPr>
        <w:b/>
        <w:u w:val="single"/>
      </w:rPr>
      <w:t>Single Use Plastic Items Regulatory Impact Statement</w:t>
    </w:r>
  </w:p>
  <w:p w14:paraId="505BFA2A" w14:textId="2BC476EE" w:rsidR="005E053A" w:rsidRDefault="005E053A" w:rsidP="005E053A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7398EE41" w14:textId="77777777" w:rsidR="005E053A" w:rsidRDefault="005E053A" w:rsidP="005E053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77B30"/>
    <w:multiLevelType w:val="hybridMultilevel"/>
    <w:tmpl w:val="049065C2"/>
    <w:lvl w:ilvl="0" w:tplc="1ED08418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  <w:lang w:val="en-AU" w:eastAsia="en-AU" w:bidi="en-AU"/>
      </w:rPr>
    </w:lvl>
    <w:lvl w:ilvl="1" w:tplc="9034BFC2">
      <w:numFmt w:val="bullet"/>
      <w:lvlText w:val=""/>
      <w:lvlJc w:val="left"/>
      <w:pPr>
        <w:ind w:left="1138" w:hanging="454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2" w:tplc="E77624AC">
      <w:numFmt w:val="bullet"/>
      <w:lvlText w:val="•"/>
      <w:lvlJc w:val="left"/>
      <w:pPr>
        <w:ind w:left="2082" w:hanging="454"/>
      </w:pPr>
      <w:rPr>
        <w:rFonts w:hint="default"/>
        <w:lang w:val="en-AU" w:eastAsia="en-AU" w:bidi="en-AU"/>
      </w:rPr>
    </w:lvl>
    <w:lvl w:ilvl="3" w:tplc="3CF29C3E">
      <w:numFmt w:val="bullet"/>
      <w:lvlText w:val="•"/>
      <w:lvlJc w:val="left"/>
      <w:pPr>
        <w:ind w:left="3025" w:hanging="454"/>
      </w:pPr>
      <w:rPr>
        <w:rFonts w:hint="default"/>
        <w:lang w:val="en-AU" w:eastAsia="en-AU" w:bidi="en-AU"/>
      </w:rPr>
    </w:lvl>
    <w:lvl w:ilvl="4" w:tplc="63FE5E84">
      <w:numFmt w:val="bullet"/>
      <w:lvlText w:val="•"/>
      <w:lvlJc w:val="left"/>
      <w:pPr>
        <w:ind w:left="3968" w:hanging="454"/>
      </w:pPr>
      <w:rPr>
        <w:rFonts w:hint="default"/>
        <w:lang w:val="en-AU" w:eastAsia="en-AU" w:bidi="en-AU"/>
      </w:rPr>
    </w:lvl>
    <w:lvl w:ilvl="5" w:tplc="5CB4FE8C">
      <w:numFmt w:val="bullet"/>
      <w:lvlText w:val="•"/>
      <w:lvlJc w:val="left"/>
      <w:pPr>
        <w:ind w:left="4911" w:hanging="454"/>
      </w:pPr>
      <w:rPr>
        <w:rFonts w:hint="default"/>
        <w:lang w:val="en-AU" w:eastAsia="en-AU" w:bidi="en-AU"/>
      </w:rPr>
    </w:lvl>
    <w:lvl w:ilvl="6" w:tplc="0BFAE4C4">
      <w:numFmt w:val="bullet"/>
      <w:lvlText w:val="•"/>
      <w:lvlJc w:val="left"/>
      <w:pPr>
        <w:ind w:left="5854" w:hanging="454"/>
      </w:pPr>
      <w:rPr>
        <w:rFonts w:hint="default"/>
        <w:lang w:val="en-AU" w:eastAsia="en-AU" w:bidi="en-AU"/>
      </w:rPr>
    </w:lvl>
    <w:lvl w:ilvl="7" w:tplc="C5560672">
      <w:numFmt w:val="bullet"/>
      <w:lvlText w:val="•"/>
      <w:lvlJc w:val="left"/>
      <w:pPr>
        <w:ind w:left="6797" w:hanging="454"/>
      </w:pPr>
      <w:rPr>
        <w:rFonts w:hint="default"/>
        <w:lang w:val="en-AU" w:eastAsia="en-AU" w:bidi="en-AU"/>
      </w:rPr>
    </w:lvl>
    <w:lvl w:ilvl="8" w:tplc="C1C09D7E">
      <w:numFmt w:val="bullet"/>
      <w:lvlText w:val="•"/>
      <w:lvlJc w:val="left"/>
      <w:pPr>
        <w:ind w:left="7740" w:hanging="454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B8"/>
    <w:rsid w:val="000D6442"/>
    <w:rsid w:val="00146F0A"/>
    <w:rsid w:val="001A1209"/>
    <w:rsid w:val="002749E9"/>
    <w:rsid w:val="002C12D7"/>
    <w:rsid w:val="002E4BB0"/>
    <w:rsid w:val="002E605A"/>
    <w:rsid w:val="00481ECC"/>
    <w:rsid w:val="004922EC"/>
    <w:rsid w:val="00556637"/>
    <w:rsid w:val="00577E43"/>
    <w:rsid w:val="005927F9"/>
    <w:rsid w:val="005E053A"/>
    <w:rsid w:val="005F0C89"/>
    <w:rsid w:val="00684BED"/>
    <w:rsid w:val="00840CB8"/>
    <w:rsid w:val="0091169F"/>
    <w:rsid w:val="00944E22"/>
    <w:rsid w:val="0096579C"/>
    <w:rsid w:val="00AC67A9"/>
    <w:rsid w:val="00C36C42"/>
    <w:rsid w:val="00C560C1"/>
    <w:rsid w:val="00CE487B"/>
    <w:rsid w:val="00D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9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91"/>
      <w:ind w:left="32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4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22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2C12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2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3A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E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3A"/>
    <w:rPr>
      <w:rFonts w:ascii="Arial" w:eastAsia="Arial" w:hAnsi="Arial" w:cs="Arial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5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D77E3-42C5-493A-8C99-AA7FA0343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6C23A-8070-4C42-9B3D-EC8DA98A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92318-A0AD-4080-AB91-F328AF7C1B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1662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1944</CharactersWithSpaces>
  <SharedDoc>false</SharedDoc>
  <HyperlinkBase>https://www.cabinet.qld.gov.au/documents/2020/Mar/SUPRIS/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14</cp:revision>
  <dcterms:created xsi:type="dcterms:W3CDTF">2020-03-05T06:53:00Z</dcterms:created>
  <dcterms:modified xsi:type="dcterms:W3CDTF">2020-09-25T04:23:00Z</dcterms:modified>
  <cp:category>Waste_Management,Waste_Reduction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2020-02-24T00:00:00Z</vt:filetime>
  </property>
  <property fmtid="{D5CDD505-2E9C-101B-9397-08002B2CF9AE}" pid="5" name="ContentTypeId">
    <vt:lpwstr>0x010100DDE14CFDD070B24F85F5DE43654FF01E</vt:lpwstr>
  </property>
</Properties>
</file>